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spacing w:line="360" w:lineRule="auto"/>
        <w:jc w:val="center"/>
        <w:rPr>
          <w:rStyle w:val="13"/>
        </w:rPr>
      </w:pPr>
      <w:r>
        <w:rPr>
          <w:smallCaps/>
          <w:color w:val="C0504D"/>
        </w:rPr>
        <w:pict>
          <v:shape id="_x0000_i1025" o:spt="136" type="#_x0000_t136" style="height:53.25pt;width:441.75pt;" fillcolor="#FF0000" fill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平顶山市卫生计生监督局文件" style="font-family:宋体;font-size:36pt;font-weight:bold;v-text-align:center;"/>
            <w10:wrap type="none"/>
            <w10:anchorlock/>
          </v:shape>
        </w:pict>
      </w:r>
    </w:p>
    <w:p>
      <w:pPr>
        <w:spacing w:line="360" w:lineRule="auto"/>
        <w:jc w:val="center"/>
        <w:rPr>
          <w:rFonts w:ascii="仿宋_GB2312" w:eastAsia="仿宋_GB2312"/>
          <w:sz w:val="32"/>
        </w:rPr>
      </w:pPr>
    </w:p>
    <w:p>
      <w:pPr>
        <w:spacing w:line="360" w:lineRule="auto"/>
        <w:jc w:val="center"/>
        <w:rPr>
          <w:rFonts w:ascii="仿宋_GB2312" w:eastAsia="仿宋_GB2312"/>
          <w:sz w:val="32"/>
        </w:rPr>
      </w:pPr>
    </w:p>
    <w:p>
      <w:pPr>
        <w:jc w:val="center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平卫监局〔20</w:t>
      </w:r>
      <w:r>
        <w:rPr>
          <w:rFonts w:hint="eastAsia" w:ascii="仿宋_GB2312" w:eastAsia="仿宋_GB2312"/>
          <w:sz w:val="32"/>
          <w:lang w:val="en-US" w:eastAsia="zh-CN"/>
        </w:rPr>
        <w:t>21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21</w:t>
      </w:r>
      <w:r>
        <w:rPr>
          <w:rFonts w:hint="eastAsia" w:ascii="仿宋_GB2312" w:eastAsia="仿宋_GB2312"/>
          <w:sz w:val="32"/>
        </w:rPr>
        <w:t>号</w:t>
      </w:r>
    </w:p>
    <w:p>
      <w:pPr>
        <w:jc w:val="right"/>
        <w:rPr>
          <w:rFonts w:hint="eastAsia"/>
          <w:sz w:val="32"/>
          <w:szCs w:val="32"/>
        </w:rPr>
      </w:pPr>
      <w:r>
        <w:rPr>
          <w:rFonts w:ascii="仿宋_GB2312" w:eastAsia="仿宋_GB2312"/>
          <w:sz w:val="32"/>
        </w:rPr>
        <w:pict>
          <v:rect id="_x0000_i1026" o:spt="1" style="height:0.75pt;width:415.3pt;" fillcolor="#FF0000" filled="t" stroked="f" coordsize="21600,21600" o:hr="t" o:hrstd="t" o:hrnoshade="t" o:hralign="right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eastAsia="方正小标宋简体" w:cs="黑体"/>
          <w:color w:val="282828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eastAsia="方正小标宋简体" w:cs="黑体"/>
          <w:color w:val="282828"/>
          <w:sz w:val="32"/>
          <w:szCs w:val="32"/>
        </w:rPr>
      </w:pPr>
    </w:p>
    <w:p>
      <w:pPr>
        <w:adjustRightInd/>
        <w:snapToGrid/>
        <w:spacing w:after="0"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年平顶山市卫生健康系统“双随机一公开”抽查工作实施方案</w:t>
      </w:r>
    </w:p>
    <w:p>
      <w:pPr>
        <w:pStyle w:val="5"/>
        <w:spacing w:before="0" w:beforeAutospacing="0" w:after="0" w:afterAutospacing="0" w:line="300" w:lineRule="atLeas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各县（市）区卫生计生监督所</w:t>
      </w:r>
      <w:r>
        <w:rPr>
          <w:rFonts w:hint="eastAsia" w:ascii="仿宋_GB2312" w:eastAsia="仿宋_GB2312"/>
          <w:sz w:val="32"/>
          <w:szCs w:val="32"/>
          <w:lang w:eastAsia="zh-CN"/>
        </w:rPr>
        <w:t>，局属各科室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adjustRightInd/>
        <w:snapToGrid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全面贯彻落实党的十九大精神，围绕简政放权、放管结合、优化服务改革要求，全面推行“双随机一公开”监管。通过新型的监管方式规范监管行为，进一步提升监管的公平性、规范性和有效性，不断降低制度性交易成本，减轻企业负担，减少权力寻租着力营造公平竞争的市场环境和法治化、便利化的营商环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按照《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国家卫生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健康委办公厅关于印发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"/>
        </w:rPr>
        <w:t>国家随机监督抽查计划的通知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》（国卫办监督涵【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）要求，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国抽任务清单已于4月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"/>
        </w:rPr>
        <w:t>下旬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下达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"/>
        </w:rPr>
        <w:t>，省抽任务清单预计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5月下达，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根据国家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"/>
        </w:rPr>
        <w:t>、省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卫生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"/>
        </w:rPr>
        <w:t>健康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委下达的双随机抽查任务清单，结合我市实际工作情况，现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"/>
        </w:rPr>
        <w:t>制定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我市今年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"/>
        </w:rPr>
        <w:t>国抽、省抽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双随机工作实施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"/>
        </w:rPr>
        <w:t>方案。</w:t>
      </w:r>
    </w:p>
    <w:p>
      <w:pPr>
        <w:numPr>
          <w:ilvl w:val="0"/>
          <w:numId w:val="1"/>
        </w:numPr>
        <w:adjustRightInd/>
        <w:snapToGrid/>
        <w:spacing w:after="0" w:line="360" w:lineRule="auto"/>
        <w:ind w:firstLine="640" w:firstLineChars="200"/>
        <w:rPr>
          <w:rFonts w:ascii="黑体" w:hAnsi="黑体" w:eastAsia="黑体" w:cs="黑体"/>
          <w:kern w:val="2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bidi="ar"/>
        </w:rPr>
        <w:t>明确上级要求</w:t>
      </w:r>
    </w:p>
    <w:p>
      <w:pPr>
        <w:adjustRightInd/>
        <w:snapToGrid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年“双随机一公开”工作时间紧，任务重，工作量大，各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"/>
        </w:rPr>
        <w:t>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要根据实施方案要求，加强领导，统筹安排，精心组织实施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"/>
        </w:rPr>
        <w:t>，按照双随机工作任务清单，做到责任落实到科室，落实到每个监督员，严格按照专业要求开展监督工作，做到任务到人，责任到人，一级抓一级，层层抓落实抽查任务中涉及到的检测任务，原则上由当地疾控机构承担，不具备相应检测能力的，可由第三方检测机构承担。</w:t>
      </w:r>
    </w:p>
    <w:p>
      <w:pPr>
        <w:adjustRightInd/>
        <w:snapToGrid/>
        <w:spacing w:after="0"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bidi="ar"/>
        </w:rPr>
        <w:t>二、明确</w:t>
      </w:r>
      <w:r>
        <w:rPr>
          <w:rFonts w:hint="eastAsia" w:ascii="黑体" w:hAnsi="黑体" w:eastAsia="黑体" w:cs="黑体"/>
          <w:sz w:val="32"/>
          <w:szCs w:val="32"/>
        </w:rPr>
        <w:t>抽查事项</w:t>
      </w:r>
    </w:p>
    <w:p>
      <w:pPr>
        <w:adjustRightInd/>
        <w:snapToGrid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（一）抽查范围。202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年我市卫生健康监督系统“双随机一公开”抽查工作按照国家、省卫生健康委的统一要求开展，涵盖公共场所、传染病防治、医疗卫生、学校卫生、放射卫生、生活饮用水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、妇幼健康</w:t>
      </w:r>
      <w:r>
        <w:rPr>
          <w:rFonts w:hint="eastAsia" w:ascii="仿宋_GB2312" w:hAnsi="仿宋_GB2312" w:eastAsia="仿宋_GB2312" w:cs="仿宋_GB2312"/>
          <w:sz w:val="32"/>
          <w:szCs w:val="32"/>
        </w:rPr>
        <w:t>等监督专业，抽查事项实现全覆盖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</w:p>
    <w:p>
      <w:pPr>
        <w:adjustRightInd/>
        <w:snapToGrid/>
        <w:spacing w:after="0" w:line="360" w:lineRule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"/>
        </w:rPr>
        <w:t>抽查比例为9.58%，省级抽查比例为3%。</w:t>
      </w:r>
    </w:p>
    <w:p>
      <w:pPr>
        <w:adjustRightInd/>
        <w:snapToGrid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（二）抽查对象为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卫生行政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监管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相对人。</w:t>
      </w:r>
    </w:p>
    <w:p>
      <w:pPr>
        <w:pStyle w:val="14"/>
        <w:adjustRightInd/>
        <w:snapToGrid/>
        <w:spacing w:after="0" w:line="360" w:lineRule="auto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三、具体工作安排</w:t>
      </w:r>
    </w:p>
    <w:p>
      <w:pPr>
        <w:pStyle w:val="14"/>
        <w:adjustRightInd/>
        <w:snapToGrid/>
        <w:spacing w:after="0" w:line="360" w:lineRule="auto"/>
        <w:ind w:left="9" w:firstLine="697" w:firstLineChars="21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月，市卫生</w:t>
      </w:r>
      <w:r>
        <w:rPr>
          <w:rFonts w:hint="eastAsia" w:ascii="Calibri" w:hAnsi="Calibri" w:eastAsia="仿宋_GB2312" w:cs="仿宋_GB2312"/>
          <w:sz w:val="32"/>
          <w:szCs w:val="32"/>
        </w:rPr>
        <w:t>计生监督局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成立“双随机一公开”抽查领导小组，出台实施方案，建立台账，分解责任，明确时间节点，推进任务落实。</w:t>
      </w:r>
    </w:p>
    <w:p>
      <w:pPr>
        <w:pStyle w:val="14"/>
        <w:adjustRightInd/>
        <w:snapToGrid/>
        <w:spacing w:after="0" w:line="360" w:lineRule="auto"/>
        <w:ind w:left="9" w:firstLine="697" w:firstLineChars="21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月，市卫生</w:t>
      </w:r>
      <w:r>
        <w:rPr>
          <w:rFonts w:hint="eastAsia" w:ascii="Calibri" w:hAnsi="Calibri" w:eastAsia="仿宋_GB2312" w:cs="仿宋_GB2312"/>
          <w:sz w:val="32"/>
          <w:szCs w:val="32"/>
        </w:rPr>
        <w:t>计生监督局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负责召开“双随机一公开”抽查工作培训会，对随机抽查工作进行安排部署。</w:t>
      </w:r>
    </w:p>
    <w:p>
      <w:pPr>
        <w:pStyle w:val="14"/>
        <w:adjustRightInd/>
        <w:snapToGrid/>
        <w:spacing w:after="0" w:line="360" w:lineRule="auto"/>
        <w:ind w:left="9" w:firstLine="697" w:firstLineChars="21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月-10月，分别做好随机抽查相关信息的录入、汇总及总结报送工作。</w:t>
      </w:r>
    </w:p>
    <w:p>
      <w:pPr>
        <w:pStyle w:val="14"/>
        <w:numPr>
          <w:ilvl w:val="0"/>
          <w:numId w:val="2"/>
        </w:numPr>
        <w:adjustRightInd/>
        <w:snapToGrid/>
        <w:spacing w:after="0" w:line="360" w:lineRule="auto"/>
        <w:ind w:left="9" w:firstLine="697" w:firstLineChars="21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计生监督局</w:t>
      </w:r>
      <w:r>
        <w:rPr>
          <w:rFonts w:hint="eastAsia" w:ascii="仿宋_GB2312" w:hAnsi="仿宋_GB2312" w:eastAsia="仿宋_GB2312" w:cs="仿宋_GB2312"/>
          <w:sz w:val="32"/>
          <w:szCs w:val="32"/>
        </w:rPr>
        <w:t>对“双随机一公开”抽查工作实行通报制度，将工作完成情况进行通报，对重视不够、推进不力、进展缓慢的单位主要负责人进行警示约谈。</w:t>
      </w:r>
    </w:p>
    <w:p>
      <w:pPr>
        <w:pStyle w:val="14"/>
        <w:numPr>
          <w:ilvl w:val="0"/>
          <w:numId w:val="2"/>
        </w:numPr>
        <w:adjustRightInd/>
        <w:snapToGrid/>
        <w:spacing w:after="0" w:line="360" w:lineRule="auto"/>
        <w:ind w:left="9" w:firstLine="697" w:firstLineChars="21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11月20日前，完成全年抽查任务和监测及数据上报，</w:t>
      </w: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 HYPERLINK "mailto:fzk5966043@163.com）。市卫生计生监督局负责汇总全市数据、材料后将工作总结报送省卫生计生监督局各对口业务科室。" 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</w:rPr>
        <w:t>市卫生计生监督局各专业科室负责审核汇总全市本专业数据、并将汇总数据及总结按要求报送市卫生健康委。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numPr>
          <w:ilvl w:val="0"/>
          <w:numId w:val="3"/>
        </w:numPr>
        <w:adjustRightInd/>
        <w:snapToGrid/>
        <w:spacing w:after="0"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组织保障措施</w:t>
      </w:r>
    </w:p>
    <w:p>
      <w:pPr>
        <w:adjustRightInd/>
        <w:snapToGrid/>
        <w:spacing w:after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加强组织领导。市卫生健康委和监督机构要成立“双随机一公开”抽查工作领导小组，制定具体实施方案，建立工作台账，明确责任分工，指定专人负责，统筹安排，精心组织，确保随机抽查任务高质量完成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（二）加强结果运用。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对同一检查对象，要在兼顾各专业需求的基础上争取一次性完成抽查任务，避免对检查单位造成不必要的干扰。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对抽查发现的违法违规行为，要加大惩处力度，依法依规严肃处理，对随机抽查中发现的相关问题、线索要及时通报、协查。</w:t>
      </w:r>
    </w:p>
    <w:p>
      <w:pPr>
        <w:shd w:val="clear" w:color="auto" w:fill="FFFFFF"/>
        <w:adjustRightInd/>
        <w:snapToGrid/>
        <w:spacing w:after="0" w:line="360" w:lineRule="auto"/>
        <w:ind w:firstLine="645"/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（三）加强信息公开。要在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抽查任务完成后按照“谁检查、谁录入、谁公开”的原则，将抽查结果信息通过市卫生健康委员会网站或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"/>
        </w:rPr>
        <w:t>市卫生计生监督局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网站依法向社会公开。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sz w:val="30"/>
          <w:szCs w:val="30"/>
        </w:rPr>
      </w:pPr>
    </w:p>
    <w:p>
      <w:pPr>
        <w:adjustRightInd/>
        <w:snapToGrid/>
        <w:spacing w:after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pacing w:val="-20"/>
          <w:kern w:val="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附件1：平顶山市</w:t>
      </w:r>
      <w:r>
        <w:rPr>
          <w:rFonts w:hint="eastAsia" w:ascii="仿宋_GB2312" w:hAnsi="仿宋_GB2312" w:eastAsia="仿宋_GB2312" w:cs="仿宋_GB2312"/>
          <w:spacing w:val="-20"/>
          <w:kern w:val="2"/>
          <w:sz w:val="32"/>
          <w:szCs w:val="32"/>
          <w:lang w:bidi="ar"/>
        </w:rPr>
        <w:t>卫生计生监督局“双随机一公开”抽查工作领导小组名单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附件2：202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年“双随机、一公开”数据汇总工作分工及业务指导专家</w:t>
      </w:r>
    </w:p>
    <w:p>
      <w:pPr>
        <w:widowControl w:val="0"/>
        <w:adjustRightInd/>
        <w:snapToGrid/>
        <w:spacing w:after="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ind w:firstLine="5120" w:firstLineChars="1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2021年4月23日</w:t>
      </w:r>
    </w:p>
    <w:p>
      <w:pPr>
        <w:widowControl w:val="0"/>
        <w:adjustRightInd/>
        <w:snapToGrid/>
        <w:spacing w:after="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adjustRightInd/>
        <w:snapToGrid/>
        <w:spacing w:after="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平顶山市卫生计生监督局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“双随机一公开”抽查工作领导小组名单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 w:val="0"/>
        <w:adjustRightInd/>
        <w:snapToGrid/>
        <w:spacing w:after="0" w:line="360" w:lineRule="auto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为加强对“双随机一公开”抽查工作的组织领导，市卫生卫计生监督局成立“双随机一公开”抽查工作领导小组，领导小组人员名单如下：</w:t>
      </w:r>
    </w:p>
    <w:p>
      <w:pPr>
        <w:widowControl w:val="0"/>
        <w:adjustRightInd/>
        <w:snapToGrid/>
        <w:spacing w:after="0"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长：刘凌云  市卫生计生监督局局长</w:t>
      </w:r>
    </w:p>
    <w:p>
      <w:pPr>
        <w:widowControl w:val="0"/>
        <w:adjustRightInd/>
        <w:snapToGrid/>
        <w:spacing w:after="0"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副组长：柴英豪  市卫生计生监督局书记</w:t>
      </w:r>
    </w:p>
    <w:p>
      <w:pPr>
        <w:widowControl w:val="0"/>
        <w:adjustRightInd/>
        <w:snapToGrid/>
        <w:spacing w:after="0" w:line="360" w:lineRule="auto"/>
        <w:ind w:firstLine="1888" w:firstLineChars="59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郭银玲  市卫生计生监督局副局长</w:t>
      </w:r>
    </w:p>
    <w:p>
      <w:pPr>
        <w:widowControl w:val="0"/>
        <w:adjustRightInd/>
        <w:snapToGrid/>
        <w:spacing w:after="0" w:line="360" w:lineRule="auto"/>
        <w:ind w:firstLine="1888" w:firstLineChars="59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阮宏立  市卫生计生监督局副局长</w:t>
      </w:r>
    </w:p>
    <w:p>
      <w:pPr>
        <w:widowControl w:val="0"/>
        <w:adjustRightInd/>
        <w:snapToGrid/>
        <w:spacing w:after="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成  员：市卫生计生监督局各业务科室负责人。</w:t>
      </w:r>
    </w:p>
    <w:p>
      <w:pPr>
        <w:spacing w:after="0" w:line="360" w:lineRule="auto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领导小组下设办公室，办公室设在市卫生计生监督局信息科，赵静同志兼任办公室主任。</w:t>
      </w:r>
    </w:p>
    <w:p>
      <w:pPr>
        <w:spacing w:after="0" w:line="360" w:lineRule="auto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after="0" w:line="360" w:lineRule="auto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Cs/>
          <w:sz w:val="30"/>
          <w:szCs w:val="30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Cs/>
          <w:sz w:val="30"/>
          <w:szCs w:val="30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Cs/>
          <w:sz w:val="30"/>
          <w:szCs w:val="30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Cs/>
          <w:sz w:val="30"/>
          <w:szCs w:val="30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Cs/>
          <w:sz w:val="30"/>
          <w:szCs w:val="30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Cs/>
          <w:sz w:val="30"/>
          <w:szCs w:val="30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Cs/>
          <w:sz w:val="30"/>
          <w:szCs w:val="30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附件2：</w:t>
      </w:r>
    </w:p>
    <w:p>
      <w:pPr>
        <w:spacing w:line="560" w:lineRule="exact"/>
        <w:ind w:firstLine="1200" w:firstLineChars="400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年“双随机、一公开”数据汇总工作分工及业务指导专家</w:t>
      </w:r>
    </w:p>
    <w:p>
      <w:pPr>
        <w:numPr>
          <w:ilvl w:val="0"/>
          <w:numId w:val="4"/>
        </w:numPr>
        <w:shd w:val="clear" w:color="auto" w:fill="FFFFFF"/>
        <w:adjustRightInd/>
        <w:snapToGrid/>
        <w:spacing w:after="0" w:line="36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公共场所监督专业负责人：  </w:t>
      </w:r>
    </w:p>
    <w:p>
      <w:pPr>
        <w:shd w:val="clear" w:color="auto" w:fill="FFFFFF"/>
        <w:adjustRightInd/>
        <w:snapToGrid/>
        <w:spacing w:after="0" w:line="360" w:lineRule="auto"/>
        <w:ind w:firstLine="960" w:firstLineChars="3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刘亚军    0375-8970399</w:t>
      </w:r>
    </w:p>
    <w:p>
      <w:pPr>
        <w:shd w:val="clear" w:color="auto" w:fill="FFFFFF"/>
        <w:adjustRightInd/>
        <w:snapToGrid/>
        <w:spacing w:after="0" w:line="360" w:lineRule="auto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报送邮箱：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</w:rPr>
        <w:t>pdsswsjds@126.com</w:t>
      </w:r>
    </w:p>
    <w:p>
      <w:pPr>
        <w:shd w:val="clear" w:color="auto" w:fill="FFFFFF"/>
        <w:adjustRightInd/>
        <w:snapToGrid/>
        <w:spacing w:after="0" w:line="360" w:lineRule="auto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2.生活饮用水卫生监督专业负责人：</w:t>
      </w:r>
    </w:p>
    <w:p>
      <w:pPr>
        <w:shd w:val="clear" w:color="auto" w:fill="FFFFFF"/>
        <w:adjustRightInd/>
        <w:snapToGrid/>
        <w:spacing w:after="0" w:line="360" w:lineRule="auto"/>
        <w:ind w:left="613" w:leftChars="29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0375-8970766</w:t>
      </w:r>
    </w:p>
    <w:p>
      <w:pPr>
        <w:shd w:val="clear" w:color="auto" w:fill="FFFFFF"/>
        <w:adjustRightInd/>
        <w:snapToGrid/>
        <w:spacing w:after="0" w:line="360" w:lineRule="auto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报送邮箱：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</w:rPr>
        <w:t>lzfgb2000@sina.com</w:t>
      </w:r>
    </w:p>
    <w:p>
      <w:pPr>
        <w:shd w:val="clear" w:color="auto" w:fill="FFFFFF"/>
        <w:adjustRightInd/>
        <w:snapToGrid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3.医疗机构监督专业负责人：  </w:t>
      </w:r>
    </w:p>
    <w:p>
      <w:pPr>
        <w:shd w:val="clear" w:color="auto" w:fill="FFFFFF"/>
        <w:adjustRightInd/>
        <w:snapToGrid/>
        <w:spacing w:after="0" w:line="360" w:lineRule="auto"/>
        <w:ind w:left="10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郭新华  0375-8971799 </w:t>
      </w:r>
    </w:p>
    <w:p>
      <w:pPr>
        <w:shd w:val="clear" w:color="auto" w:fill="FFFFFF"/>
        <w:adjustRightInd/>
        <w:snapToGrid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报送邮箱：13937522184@163.com</w:t>
      </w:r>
    </w:p>
    <w:p>
      <w:pPr>
        <w:adjustRightInd/>
        <w:snapToGrid/>
        <w:spacing w:after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4.传染病监督专业负责人：</w:t>
      </w:r>
    </w:p>
    <w:p>
      <w:pPr>
        <w:adjustRightInd/>
        <w:snapToGrid/>
        <w:spacing w:after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余 平   0375-8901208</w:t>
      </w:r>
    </w:p>
    <w:p>
      <w:pPr>
        <w:shd w:val="clear" w:color="auto" w:fill="FFFFFF"/>
        <w:adjustRightInd/>
        <w:snapToGrid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报送邮箱：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</w:rPr>
        <w:t>pingdsyuping@126.com</w:t>
      </w:r>
    </w:p>
    <w:p>
      <w:pPr>
        <w:adjustRightInd/>
        <w:snapToGrid/>
        <w:spacing w:after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5.学校卫生监督专业负责人：</w:t>
      </w:r>
    </w:p>
    <w:p>
      <w:pPr>
        <w:shd w:val="clear" w:color="auto" w:fill="FFFFFF"/>
        <w:adjustRightInd/>
        <w:snapToGrid/>
        <w:spacing w:after="0" w:line="360" w:lineRule="auto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0375- 8970799</w:t>
      </w:r>
    </w:p>
    <w:p>
      <w:pPr>
        <w:shd w:val="clear" w:color="auto" w:fill="FFFFFF"/>
        <w:adjustRightInd/>
        <w:snapToGrid/>
        <w:spacing w:after="0" w:line="360" w:lineRule="auto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报送邮箱：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</w:rPr>
        <w:t>hnphy@126.com</w:t>
      </w:r>
    </w:p>
    <w:p>
      <w:pPr>
        <w:shd w:val="clear" w:color="auto" w:fill="FFFFFF"/>
        <w:adjustRightInd/>
        <w:snapToGrid/>
        <w:spacing w:after="0" w:line="360" w:lineRule="auto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6.放射卫生监督专业负责人：</w:t>
      </w:r>
    </w:p>
    <w:p>
      <w:pPr>
        <w:shd w:val="clear" w:color="auto" w:fill="FFFFFF"/>
        <w:adjustRightInd/>
        <w:snapToGrid/>
        <w:spacing w:after="0" w:line="360" w:lineRule="auto"/>
        <w:ind w:left="609" w:leftChars="29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张强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0375-8970089</w:t>
      </w:r>
    </w:p>
    <w:p>
      <w:pPr>
        <w:pStyle w:val="15"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报送邮箱：</w:t>
      </w:r>
      <w:r>
        <w:rPr>
          <w:rStyle w:val="16"/>
          <w:rFonts w:hint="eastAsia" w:ascii="仿宋_GB2312" w:hAnsi="仿宋_GB2312" w:eastAsia="仿宋_GB2312" w:cs="仿宋_GB2312"/>
          <w:color w:val="555555"/>
          <w:sz w:val="32"/>
          <w:szCs w:val="32"/>
        </w:rPr>
        <w:t xml:space="preserve">zq8970366@126.com </w:t>
      </w:r>
    </w:p>
    <w:p>
      <w:pPr>
        <w:shd w:val="clear" w:color="auto" w:fill="FFFFFF"/>
        <w:adjustRightInd/>
        <w:snapToGrid/>
        <w:spacing w:after="0" w:line="360" w:lineRule="auto"/>
        <w:ind w:firstLine="645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7.信息填报专业负责人：</w:t>
      </w:r>
    </w:p>
    <w:p>
      <w:pPr>
        <w:shd w:val="clear" w:color="auto" w:fill="FFFFFF"/>
        <w:adjustRightInd/>
        <w:snapToGrid/>
        <w:spacing w:after="0" w:line="360" w:lineRule="auto"/>
        <w:ind w:firstLine="960" w:firstLineChars="3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赵静    0375-8970299</w:t>
      </w:r>
    </w:p>
    <w:p>
      <w:pPr>
        <w:adjustRightInd/>
        <w:snapToGrid/>
        <w:spacing w:after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报送邮箱：pdszj2299@163.com</w:t>
      </w:r>
    </w:p>
    <w:p>
      <w:pPr>
        <w:adjustRightInd/>
        <w:snapToGrid/>
        <w:spacing w:after="0" w:line="360" w:lineRule="auto"/>
        <w:ind w:firstLine="1600" w:firstLineChars="5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</w:pPr>
    </w:p>
    <w:p>
      <w:pPr>
        <w:spacing w:after="0" w:line="360" w:lineRule="auto"/>
        <w:ind w:firstLine="645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after="0" w:line="360" w:lineRule="auto"/>
        <w:rPr>
          <w:rFonts w:ascii="仿宋" w:hAnsi="仿宋" w:eastAsia="仿宋"/>
          <w:sz w:val="32"/>
          <w:szCs w:val="32"/>
        </w:rPr>
      </w:pPr>
    </w:p>
    <w:p>
      <w:pPr>
        <w:spacing w:after="0" w:line="360" w:lineRule="auto"/>
        <w:rPr>
          <w:rFonts w:ascii="仿宋" w:hAnsi="仿宋" w:eastAsia="仿宋"/>
          <w:sz w:val="32"/>
          <w:szCs w:val="32"/>
        </w:rPr>
      </w:pPr>
    </w:p>
    <w:p>
      <w:pPr>
        <w:spacing w:after="0" w:line="360" w:lineRule="auto"/>
        <w:rPr>
          <w:rFonts w:ascii="仿宋" w:hAnsi="仿宋" w:eastAsia="仿宋"/>
          <w:sz w:val="32"/>
          <w:szCs w:val="32"/>
        </w:rPr>
      </w:pPr>
    </w:p>
    <w:p>
      <w:pPr>
        <w:spacing w:after="0" w:line="360" w:lineRule="auto"/>
        <w:rPr>
          <w:rFonts w:ascii="仿宋" w:hAnsi="仿宋" w:eastAsia="仿宋"/>
          <w:sz w:val="32"/>
          <w:szCs w:val="32"/>
        </w:rPr>
      </w:pPr>
    </w:p>
    <w:p>
      <w:pPr>
        <w:spacing w:after="0" w:line="360" w:lineRule="auto"/>
        <w:rPr>
          <w:rFonts w:ascii="仿宋" w:hAnsi="仿宋" w:eastAsia="仿宋"/>
          <w:sz w:val="32"/>
          <w:szCs w:val="32"/>
        </w:rPr>
      </w:pPr>
    </w:p>
    <w:p>
      <w:pPr>
        <w:spacing w:after="0" w:line="360" w:lineRule="auto"/>
        <w:rPr>
          <w:rFonts w:ascii="仿宋" w:hAnsi="仿宋" w:eastAsia="仿宋"/>
          <w:sz w:val="32"/>
          <w:szCs w:val="32"/>
        </w:rPr>
      </w:pPr>
    </w:p>
    <w:p>
      <w:pPr>
        <w:spacing w:after="0" w:line="360" w:lineRule="auto"/>
        <w:rPr>
          <w:rFonts w:ascii="仿宋" w:hAnsi="仿宋" w:eastAsia="仿宋"/>
          <w:sz w:val="32"/>
          <w:szCs w:val="32"/>
        </w:rPr>
      </w:pPr>
    </w:p>
    <w:p>
      <w:pPr>
        <w:spacing w:after="0" w:line="360" w:lineRule="auto"/>
        <w:rPr>
          <w:rFonts w:ascii="仿宋" w:hAnsi="仿宋" w:eastAsia="仿宋"/>
          <w:sz w:val="32"/>
          <w:szCs w:val="32"/>
        </w:rPr>
      </w:pPr>
    </w:p>
    <w:p>
      <w:pPr>
        <w:spacing w:after="0" w:line="360" w:lineRule="auto"/>
        <w:rPr>
          <w:rFonts w:ascii="仿宋" w:hAnsi="仿宋" w:eastAsia="仿宋"/>
          <w:sz w:val="32"/>
          <w:szCs w:val="32"/>
        </w:rPr>
      </w:pPr>
    </w:p>
    <w:p>
      <w:pPr>
        <w:spacing w:after="0" w:line="360" w:lineRule="auto"/>
        <w:rPr>
          <w:rFonts w:ascii="仿宋" w:hAnsi="仿宋" w:eastAsia="仿宋"/>
          <w:sz w:val="32"/>
          <w:szCs w:val="32"/>
        </w:rPr>
      </w:pPr>
    </w:p>
    <w:p>
      <w:pPr>
        <w:spacing w:after="0" w:line="360" w:lineRule="auto"/>
        <w:rPr>
          <w:rFonts w:ascii="仿宋" w:hAnsi="仿宋" w:eastAsia="仿宋"/>
          <w:sz w:val="32"/>
          <w:szCs w:val="32"/>
        </w:rPr>
      </w:pPr>
    </w:p>
    <w:p>
      <w:pPr>
        <w:spacing w:after="0" w:line="360" w:lineRule="auto"/>
        <w:rPr>
          <w:rFonts w:ascii="仿宋" w:hAnsi="仿宋" w:eastAsia="仿宋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18" w:right="1701" w:bottom="1418" w:left="1701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sz w:val="32"/>
          <w:szCs w:val="32"/>
        </w:rPr>
        <w:t xml:space="preserve">                     </w:t>
      </w:r>
    </w:p>
    <w:p/>
    <w:tbl>
      <w:tblPr>
        <w:tblStyle w:val="6"/>
        <w:tblW w:w="1569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1"/>
        <w:gridCol w:w="81"/>
        <w:gridCol w:w="986"/>
        <w:gridCol w:w="47"/>
        <w:gridCol w:w="1020"/>
        <w:gridCol w:w="4"/>
        <w:gridCol w:w="1014"/>
        <w:gridCol w:w="49"/>
        <w:gridCol w:w="975"/>
        <w:gridCol w:w="92"/>
        <w:gridCol w:w="932"/>
        <w:gridCol w:w="135"/>
        <w:gridCol w:w="879"/>
        <w:gridCol w:w="188"/>
        <w:gridCol w:w="826"/>
        <w:gridCol w:w="241"/>
        <w:gridCol w:w="773"/>
        <w:gridCol w:w="294"/>
        <w:gridCol w:w="720"/>
        <w:gridCol w:w="347"/>
        <w:gridCol w:w="667"/>
        <w:gridCol w:w="400"/>
        <w:gridCol w:w="614"/>
        <w:gridCol w:w="453"/>
        <w:gridCol w:w="561"/>
        <w:gridCol w:w="506"/>
        <w:gridCol w:w="963"/>
        <w:gridCol w:w="97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72" w:type="dxa"/>
          <w:trHeight w:val="527" w:hRule="atLeast"/>
          <w:jc w:val="center"/>
        </w:trPr>
        <w:tc>
          <w:tcPr>
            <w:tcW w:w="1471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2021年平顶山市“双随机一公开”国抽任务清单分解台账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0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县（市区）</w:t>
            </w:r>
          </w:p>
        </w:tc>
        <w:tc>
          <w:tcPr>
            <w:tcW w:w="10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任务总数</w:t>
            </w:r>
          </w:p>
        </w:tc>
        <w:tc>
          <w:tcPr>
            <w:tcW w:w="11184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各监督专业任务数</w:t>
            </w:r>
          </w:p>
        </w:tc>
        <w:tc>
          <w:tcPr>
            <w:tcW w:w="24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完成时限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放射卫生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生活饮用水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计划生育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消毒产品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餐饮具集中消毒单位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血液安全</w:t>
            </w:r>
          </w:p>
        </w:tc>
        <w:tc>
          <w:tcPr>
            <w:tcW w:w="24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市本级</w:t>
            </w: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114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47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4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1）在2021年7月10日前和8月10日前，分别完成50%以上和80%以上游泳场所抽查任务的结果报送；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2）在2021年6月1日前完成30%以上学校、50%以上餐具饮具集中消毒服务单位抽查任务的结果报送；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3）在2021年11月30日前完成全部公共卫生抽查任务的结果报送。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4）在2021年8月31日前，各地全面完成体育场馆等实行非卫生许可管理公共场所、农村设计日供水100吨及以上集中式供水、二次供水的建档立卡工作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于2021年11月30日前完成全部抽查任务和数据填报工作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新华区</w:t>
            </w: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132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4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卫东区</w:t>
            </w: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95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63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4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石龙区</w:t>
            </w: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4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</w:t>
            </w: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104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65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4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宝丰县</w:t>
            </w: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4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叶县</w:t>
            </w: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113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4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</w:t>
            </w: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129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54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4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郏县</w:t>
            </w: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125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4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舞钢市</w:t>
            </w: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80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37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4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1002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177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180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461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106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4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5690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2020年平顶山市“双随机一公开”省抽任务清单分解台账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县（市区）</w:t>
            </w:r>
          </w:p>
        </w:tc>
        <w:tc>
          <w:tcPr>
            <w:tcW w:w="10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任务总数</w:t>
            </w:r>
          </w:p>
        </w:tc>
        <w:tc>
          <w:tcPr>
            <w:tcW w:w="11737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各监督专业任务数</w:t>
            </w:r>
          </w:p>
        </w:tc>
        <w:tc>
          <w:tcPr>
            <w:tcW w:w="19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完成时限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放射卫生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生活饮用水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计划生育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消毒产品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餐饮具集中消毒单位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血液安全</w:t>
            </w:r>
          </w:p>
        </w:tc>
        <w:tc>
          <w:tcPr>
            <w:tcW w:w="19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市本级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9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1）在2021年7月10日前和8月10日前，分别完成50%以上和80%以上游泳场所抽查任务的结果报送；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2）在2021年6月1日前完成30%以上学校、50%以上餐具饮具集中消毒服务单位抽查任务的结果报送；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3）在2021年11月30日前完成全部公共卫生抽查任务的结果报送。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4）在2021年8月31日前，各地全面完成体育场馆等实行非卫生许可管理公共场所、农村设计日供水100吨及以上集中式供水、二次供水的建档立卡工作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于2021年11月30日前完成全部抽查任务和数据填报工作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新华区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9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卫东区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51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9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石龙区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9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42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9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宝丰县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54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9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叶县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56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9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63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9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郏县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9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舞钢市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9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353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71</w:t>
            </w: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69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158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9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仿宋_GB2312" w:hAnsi="宋体" w:eastAsia="仿宋_GB2312"/>
          <w:sz w:val="21"/>
          <w:szCs w:val="21"/>
        </w:rPr>
        <w:sectPr>
          <w:pgSz w:w="16838" w:h="11906" w:orient="landscape"/>
          <w:pgMar w:top="266" w:right="380" w:bottom="380" w:left="266" w:header="851" w:footer="992" w:gutter="0"/>
          <w:cols w:space="0" w:num="1"/>
          <w:rtlGutter w:val="0"/>
          <w:docGrid w:type="lines" w:linePitch="312" w:charSpace="0"/>
        </w:sectPr>
      </w:pPr>
    </w:p>
    <w:p>
      <w:pPr>
        <w:snapToGrid w:val="0"/>
        <w:spacing w:line="360" w:lineRule="auto"/>
        <w:rPr>
          <w:rFonts w:hint="eastAsia" w:ascii="仿宋_GB2312" w:hAnsi="宋体" w:eastAsia="仿宋_GB2312"/>
          <w:sz w:val="21"/>
          <w:szCs w:val="21"/>
        </w:rPr>
      </w:pPr>
    </w:p>
    <w:p>
      <w:pPr>
        <w:snapToGrid w:val="0"/>
        <w:spacing w:line="360" w:lineRule="auto"/>
        <w:rPr>
          <w:rFonts w:hint="eastAsia" w:ascii="仿宋_GB2312" w:hAnsi="宋体" w:eastAsia="仿宋_GB2312"/>
          <w:sz w:val="21"/>
          <w:szCs w:val="21"/>
        </w:rPr>
      </w:pPr>
    </w:p>
    <w:p>
      <w:pPr>
        <w:snapToGrid w:val="0"/>
        <w:spacing w:line="360" w:lineRule="auto"/>
        <w:rPr>
          <w:rFonts w:hint="eastAsia" w:ascii="仿宋_GB2312" w:hAnsi="宋体" w:eastAsia="仿宋_GB2312"/>
          <w:sz w:val="21"/>
          <w:szCs w:val="21"/>
        </w:rPr>
      </w:pPr>
    </w:p>
    <w:p>
      <w:pPr>
        <w:snapToGrid w:val="0"/>
        <w:spacing w:line="360" w:lineRule="auto"/>
        <w:rPr>
          <w:rFonts w:hint="eastAsia" w:ascii="仿宋_GB2312" w:hAnsi="宋体" w:eastAsia="仿宋_GB2312"/>
          <w:sz w:val="21"/>
          <w:szCs w:val="21"/>
        </w:rPr>
      </w:pPr>
    </w:p>
    <w:p>
      <w:pPr>
        <w:snapToGrid w:val="0"/>
        <w:spacing w:line="360" w:lineRule="auto"/>
        <w:rPr>
          <w:rFonts w:hint="eastAsia" w:ascii="仿宋_GB2312" w:hAnsi="宋体" w:eastAsia="仿宋_GB2312"/>
          <w:sz w:val="21"/>
          <w:szCs w:val="21"/>
        </w:rPr>
      </w:pPr>
    </w:p>
    <w:p>
      <w:pPr>
        <w:snapToGrid w:val="0"/>
        <w:spacing w:line="360" w:lineRule="auto"/>
        <w:rPr>
          <w:rFonts w:hint="eastAsia" w:ascii="仿宋_GB2312" w:hAnsi="宋体" w:eastAsia="仿宋_GB2312"/>
          <w:sz w:val="21"/>
          <w:szCs w:val="21"/>
        </w:rPr>
      </w:pPr>
    </w:p>
    <w:p>
      <w:pPr>
        <w:snapToGrid w:val="0"/>
        <w:spacing w:line="360" w:lineRule="auto"/>
        <w:rPr>
          <w:rFonts w:hint="eastAsia" w:ascii="仿宋_GB2312" w:hAnsi="宋体" w:eastAsia="仿宋_GB2312"/>
          <w:sz w:val="21"/>
          <w:szCs w:val="21"/>
        </w:rPr>
      </w:pPr>
    </w:p>
    <w:p>
      <w:pPr>
        <w:snapToGrid w:val="0"/>
        <w:spacing w:line="360" w:lineRule="auto"/>
        <w:rPr>
          <w:rFonts w:hint="eastAsia" w:ascii="仿宋_GB2312" w:hAnsi="宋体" w:eastAsia="仿宋_GB2312"/>
          <w:sz w:val="21"/>
          <w:szCs w:val="21"/>
        </w:rPr>
      </w:pPr>
    </w:p>
    <w:p>
      <w:pPr>
        <w:snapToGrid w:val="0"/>
        <w:spacing w:line="360" w:lineRule="auto"/>
        <w:rPr>
          <w:rFonts w:hint="eastAsia" w:ascii="仿宋_GB2312" w:hAnsi="宋体" w:eastAsia="仿宋_GB2312"/>
          <w:sz w:val="21"/>
          <w:szCs w:val="21"/>
        </w:rPr>
      </w:pPr>
    </w:p>
    <w:p>
      <w:pPr>
        <w:snapToGrid w:val="0"/>
        <w:spacing w:line="360" w:lineRule="auto"/>
        <w:rPr>
          <w:rFonts w:hint="eastAsia" w:ascii="仿宋_GB2312" w:hAnsi="宋体" w:eastAsia="仿宋_GB2312"/>
          <w:sz w:val="21"/>
          <w:szCs w:val="21"/>
        </w:rPr>
      </w:pPr>
    </w:p>
    <w:p>
      <w:pPr>
        <w:snapToGrid w:val="0"/>
        <w:spacing w:line="360" w:lineRule="auto"/>
        <w:rPr>
          <w:rFonts w:hint="eastAsia" w:ascii="仿宋_GB2312" w:hAnsi="宋体" w:eastAsia="仿宋_GB2312"/>
          <w:sz w:val="21"/>
          <w:szCs w:val="21"/>
        </w:rPr>
      </w:pPr>
    </w:p>
    <w:p>
      <w:pPr>
        <w:snapToGrid w:val="0"/>
        <w:spacing w:line="360" w:lineRule="auto"/>
        <w:rPr>
          <w:rFonts w:hint="eastAsia" w:ascii="仿宋_GB2312" w:hAnsi="宋体" w:eastAsia="仿宋_GB2312"/>
          <w:sz w:val="21"/>
          <w:szCs w:val="21"/>
        </w:rPr>
      </w:pPr>
    </w:p>
    <w:p>
      <w:pPr>
        <w:snapToGrid w:val="0"/>
        <w:spacing w:line="360" w:lineRule="auto"/>
        <w:rPr>
          <w:rFonts w:hint="eastAsia" w:ascii="仿宋_GB2312" w:hAnsi="宋体" w:eastAsia="仿宋_GB2312"/>
          <w:sz w:val="21"/>
          <w:szCs w:val="21"/>
        </w:rPr>
      </w:pPr>
    </w:p>
    <w:p>
      <w:pPr>
        <w:snapToGrid w:val="0"/>
        <w:spacing w:line="360" w:lineRule="auto"/>
        <w:rPr>
          <w:rFonts w:hint="eastAsia" w:ascii="仿宋_GB2312" w:hAnsi="宋体" w:eastAsia="仿宋_GB2312"/>
          <w:sz w:val="21"/>
          <w:szCs w:val="21"/>
        </w:rPr>
      </w:pPr>
    </w:p>
    <w:p>
      <w:pPr>
        <w:snapToGrid w:val="0"/>
        <w:spacing w:line="360" w:lineRule="auto"/>
        <w:rPr>
          <w:rFonts w:hint="eastAsia" w:ascii="仿宋_GB2312" w:hAnsi="宋体" w:eastAsia="仿宋_GB2312"/>
          <w:sz w:val="21"/>
          <w:szCs w:val="21"/>
        </w:rPr>
      </w:pPr>
    </w:p>
    <w:p>
      <w:pPr>
        <w:snapToGrid w:val="0"/>
        <w:spacing w:line="360" w:lineRule="auto"/>
        <w:rPr>
          <w:rFonts w:hint="eastAsia" w:ascii="仿宋_GB2312" w:hAnsi="宋体" w:eastAsia="仿宋_GB2312"/>
          <w:sz w:val="21"/>
          <w:szCs w:val="21"/>
        </w:rPr>
      </w:pPr>
    </w:p>
    <w:p>
      <w:pPr>
        <w:snapToGrid w:val="0"/>
        <w:spacing w:line="360" w:lineRule="auto"/>
        <w:rPr>
          <w:rFonts w:hint="eastAsia" w:ascii="仿宋_GB2312" w:hAnsi="宋体" w:eastAsia="仿宋_GB2312"/>
          <w:sz w:val="21"/>
          <w:szCs w:val="21"/>
        </w:rPr>
      </w:pPr>
    </w:p>
    <w:p>
      <w:pPr>
        <w:snapToGrid w:val="0"/>
        <w:spacing w:line="360" w:lineRule="auto"/>
        <w:rPr>
          <w:rFonts w:hint="eastAsia" w:ascii="仿宋_GB2312" w:hAnsi="宋体" w:eastAsia="仿宋_GB2312"/>
          <w:sz w:val="21"/>
          <w:szCs w:val="21"/>
        </w:rPr>
      </w:pPr>
    </w:p>
    <w:p>
      <w:pPr>
        <w:spacing w:after="0" w:line="360" w:lineRule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</w:t>
      </w:r>
    </w:p>
    <w:p>
      <w:pPr>
        <w:spacing w:after="0" w:line="360" w:lineRule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after="0" w:line="360" w:lineRule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after="0" w:line="360" w:lineRule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after="0" w:line="360" w:lineRule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after="0" w:line="360" w:lineRule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after="0" w:line="360" w:lineRule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napToGrid w:val="0"/>
        <w:spacing w:line="360" w:lineRule="auto"/>
        <w:rPr>
          <w:rFonts w:hint="eastAsia" w:ascii="仿宋_GB2312" w:hAnsi="宋体" w:eastAsia="仿宋_GB2312"/>
          <w:sz w:val="21"/>
          <w:szCs w:val="21"/>
        </w:rPr>
      </w:pP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254000</wp:posOffset>
                </wp:positionV>
                <wp:extent cx="584454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4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4pt;margin-top:20pt;height:0pt;width:460.2pt;z-index:251659264;mso-width-relative:page;mso-height-relative:page;" filled="f" stroked="t" coordsize="21600,21600" o:gfxdata="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lDg5Y1wAAAAkB&#10;AAAPAAAAAAAAAAEAIAAAACIAAABkcnMvZG93bnJldi54bWxQSwECFAAUAAAACACHTuJAvvafNuMB&#10;AACqAwAADgAAAAAAAAABACAAAAAm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418" w:right="1701" w:bottom="1418" w:left="1701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-294005</wp:posOffset>
                </wp:positionH>
                <wp:positionV relativeFrom="paragraph">
                  <wp:posOffset>323215</wp:posOffset>
                </wp:positionV>
                <wp:extent cx="5869940" cy="11430"/>
                <wp:effectExtent l="0" t="4445" r="16510" b="1270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9940" cy="11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3.15pt;margin-top:25.45pt;height:0.9pt;width:462.2pt;z-index:251660288;mso-width-relative:page;mso-height-relative:page;" filled="f" stroked="t" coordsize="21600,21600" o:gfxdata="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GG59M9gAAAAJAQAADwAAAAAAAAABACAAAAAiAAAAZHJzL2Rvd25yZXYueG1sUEsBAhQAFAAA&#10;AAgAh07iQHJ5Ah/vAQAAvAMAAA4AAAAAAAAAAQAgAAAAJw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平顶山</w:t>
      </w:r>
      <w:r>
        <w:rPr>
          <w:rFonts w:hint="eastAsia" w:ascii="仿宋_GB2312" w:hAnsi="仿宋_GB2312" w:eastAsia="仿宋_GB2312" w:cs="仿宋_GB2312"/>
          <w:sz w:val="28"/>
          <w:szCs w:val="28"/>
        </w:rPr>
        <w:t>市卫</w:t>
      </w:r>
      <w:r>
        <w:rPr>
          <w:rFonts w:hint="eastAsia" w:ascii="仿宋_GB2312" w:eastAsia="仿宋_GB2312"/>
          <w:sz w:val="28"/>
          <w:szCs w:val="28"/>
        </w:rPr>
        <w:t xml:space="preserve">生计生监督局办公室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2</w:t>
      </w:r>
      <w:r>
        <w:rPr>
          <w:rFonts w:hint="eastAsia" w:ascii="仿宋_GB2312" w:eastAsia="仿宋_GB2312"/>
          <w:sz w:val="28"/>
          <w:szCs w:val="28"/>
        </w:rPr>
        <w:t>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21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28</w:t>
      </w:r>
      <w:r>
        <w:rPr>
          <w:rFonts w:hint="eastAsia" w:ascii="仿宋_GB2312" w:eastAsia="仿宋_GB2312"/>
          <w:sz w:val="28"/>
          <w:szCs w:val="28"/>
        </w:rPr>
        <w:t>日印发</w:t>
      </w:r>
    </w:p>
    <w:p>
      <w:pPr>
        <w:snapToGrid w:val="0"/>
        <w:spacing w:line="360" w:lineRule="auto"/>
        <w:rPr>
          <w:rFonts w:hint="eastAsia" w:ascii="仿宋_GB2312" w:hAnsi="宋体" w:eastAsia="仿宋_GB2312"/>
          <w:sz w:val="21"/>
          <w:szCs w:val="21"/>
        </w:rPr>
      </w:pPr>
    </w:p>
    <w:sectPr>
      <w:headerReference r:id="rId7" w:type="default"/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GX9WQDXAQAAsA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6pebnPAAAABQEAAA8AAAAAAAAAAQAgAAAAIgAA&#10;AGRycy9kb3ducmV2LnhtbFBLAQIUABQAAAAIAIdO4kC5UTbT2AEAALADAAAOAAAAAAAAAAEAIAAA&#10;AB4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6pebnPAAAABQEAAA8AAAAAAAAAAQAgAAAAIgAA&#10;AGRycy9kb3ducmV2LnhtbFBLAQIUABQAAAAIAIdO4kAXxrah2AEAALADAAAOAAAAAAAAAAEAIAAA&#10;AB4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C2E09B"/>
    <w:multiLevelType w:val="singleLevel"/>
    <w:tmpl w:val="5AC2E09B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C2F045"/>
    <w:multiLevelType w:val="singleLevel"/>
    <w:tmpl w:val="5AC2F045"/>
    <w:lvl w:ilvl="0" w:tentative="0">
      <w:start w:val="4"/>
      <w:numFmt w:val="chineseCounting"/>
      <w:suff w:val="nothing"/>
      <w:lvlText w:val="%1、"/>
      <w:lvlJc w:val="left"/>
    </w:lvl>
  </w:abstractNum>
  <w:abstractNum w:abstractNumId="2">
    <w:nsid w:val="5AC32BF3"/>
    <w:multiLevelType w:val="singleLevel"/>
    <w:tmpl w:val="5AC32BF3"/>
    <w:lvl w:ilvl="0" w:tentative="0">
      <w:start w:val="4"/>
      <w:numFmt w:val="chineseCounting"/>
      <w:suff w:val="nothing"/>
      <w:lvlText w:val="（%1）"/>
      <w:lvlJc w:val="left"/>
    </w:lvl>
  </w:abstractNum>
  <w:abstractNum w:abstractNumId="3">
    <w:nsid w:val="7B0E24C2"/>
    <w:multiLevelType w:val="multilevel"/>
    <w:tmpl w:val="7B0E24C2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E9"/>
    <w:rsid w:val="0000096C"/>
    <w:rsid w:val="00004F18"/>
    <w:rsid w:val="00026C53"/>
    <w:rsid w:val="000D169D"/>
    <w:rsid w:val="000E5B7A"/>
    <w:rsid w:val="00151E07"/>
    <w:rsid w:val="00154B41"/>
    <w:rsid w:val="0015748A"/>
    <w:rsid w:val="00165B43"/>
    <w:rsid w:val="001E4B3A"/>
    <w:rsid w:val="001E5BD2"/>
    <w:rsid w:val="00245A7D"/>
    <w:rsid w:val="002E470A"/>
    <w:rsid w:val="003D766C"/>
    <w:rsid w:val="00430486"/>
    <w:rsid w:val="00462441"/>
    <w:rsid w:val="00476EB9"/>
    <w:rsid w:val="004B259B"/>
    <w:rsid w:val="005F4F25"/>
    <w:rsid w:val="006513BE"/>
    <w:rsid w:val="00653EDE"/>
    <w:rsid w:val="00656289"/>
    <w:rsid w:val="006A0C9F"/>
    <w:rsid w:val="006B18B6"/>
    <w:rsid w:val="006F7014"/>
    <w:rsid w:val="007057CD"/>
    <w:rsid w:val="008453B5"/>
    <w:rsid w:val="00913D86"/>
    <w:rsid w:val="0092505D"/>
    <w:rsid w:val="009A14D1"/>
    <w:rsid w:val="009A3728"/>
    <w:rsid w:val="009F37A9"/>
    <w:rsid w:val="00A63E09"/>
    <w:rsid w:val="00A8421A"/>
    <w:rsid w:val="00AD3EF9"/>
    <w:rsid w:val="00AE463E"/>
    <w:rsid w:val="00AF572F"/>
    <w:rsid w:val="00B30322"/>
    <w:rsid w:val="00B52182"/>
    <w:rsid w:val="00B824AF"/>
    <w:rsid w:val="00CB0D55"/>
    <w:rsid w:val="00CE711B"/>
    <w:rsid w:val="00D60869"/>
    <w:rsid w:val="00DB2D4F"/>
    <w:rsid w:val="00DC324F"/>
    <w:rsid w:val="00DF2DBC"/>
    <w:rsid w:val="00E0297A"/>
    <w:rsid w:val="00ED6EE9"/>
    <w:rsid w:val="00F028C8"/>
    <w:rsid w:val="00FD10D8"/>
    <w:rsid w:val="03B11D81"/>
    <w:rsid w:val="046D6388"/>
    <w:rsid w:val="05F93190"/>
    <w:rsid w:val="06BD7CD3"/>
    <w:rsid w:val="07910E1B"/>
    <w:rsid w:val="089A14D9"/>
    <w:rsid w:val="0B35518D"/>
    <w:rsid w:val="0FDE48F5"/>
    <w:rsid w:val="107E45B4"/>
    <w:rsid w:val="109F522E"/>
    <w:rsid w:val="12941D63"/>
    <w:rsid w:val="12E20C53"/>
    <w:rsid w:val="1412210C"/>
    <w:rsid w:val="14BE33BE"/>
    <w:rsid w:val="15C5389E"/>
    <w:rsid w:val="15D41A38"/>
    <w:rsid w:val="18D20E34"/>
    <w:rsid w:val="1A8B6998"/>
    <w:rsid w:val="1DAF0F7F"/>
    <w:rsid w:val="244F6F1C"/>
    <w:rsid w:val="27260CB8"/>
    <w:rsid w:val="2931519C"/>
    <w:rsid w:val="2AA44FAF"/>
    <w:rsid w:val="2C1670AA"/>
    <w:rsid w:val="2EDD1E0C"/>
    <w:rsid w:val="35295085"/>
    <w:rsid w:val="355910DE"/>
    <w:rsid w:val="35787552"/>
    <w:rsid w:val="3A6B398F"/>
    <w:rsid w:val="3B657186"/>
    <w:rsid w:val="4385532D"/>
    <w:rsid w:val="4725457D"/>
    <w:rsid w:val="4D171EBA"/>
    <w:rsid w:val="4E9D5DB9"/>
    <w:rsid w:val="518720A6"/>
    <w:rsid w:val="52CA4D2A"/>
    <w:rsid w:val="54CB76DE"/>
    <w:rsid w:val="58BA1D07"/>
    <w:rsid w:val="5BF110BE"/>
    <w:rsid w:val="64766559"/>
    <w:rsid w:val="679F0C2F"/>
    <w:rsid w:val="69817C61"/>
    <w:rsid w:val="6BF543C2"/>
    <w:rsid w:val="6C3B0882"/>
    <w:rsid w:val="6C6347F1"/>
    <w:rsid w:val="765D1DB4"/>
    <w:rsid w:val="77CA1D27"/>
    <w:rsid w:val="7E16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nhideWhenUsed/>
    <w:qFormat/>
    <w:uiPriority w:val="99"/>
    <w:rPr>
      <w:color w:val="484848"/>
      <w:u w:val="none"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">
    <w:name w:val="_Style 2"/>
    <w:qFormat/>
    <w:uiPriority w:val="31"/>
    <w:rPr>
      <w:smallCaps/>
      <w:color w:val="C0504D"/>
      <w:u w:val="single"/>
    </w:rPr>
  </w:style>
  <w:style w:type="paragraph" w:styleId="14">
    <w:name w:val="List Paragraph"/>
    <w:basedOn w:val="1"/>
    <w:qFormat/>
    <w:uiPriority w:val="0"/>
    <w:pPr>
      <w:ind w:firstLine="420" w:firstLineChars="200"/>
    </w:pPr>
  </w:style>
  <w:style w:type="paragraph" w:customStyle="1" w:styleId="15">
    <w:name w:val="is016"/>
    <w:basedOn w:val="1"/>
    <w:qFormat/>
    <w:uiPriority w:val="0"/>
    <w:rPr>
      <w:rFonts w:cs="Times New Roman"/>
    </w:rPr>
  </w:style>
  <w:style w:type="character" w:customStyle="1" w:styleId="16">
    <w:name w:val="is017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355</Words>
  <Characters>2025</Characters>
  <Lines>16</Lines>
  <Paragraphs>4</Paragraphs>
  <TotalTime>6</TotalTime>
  <ScaleCrop>false</ScaleCrop>
  <LinksUpToDate>false</LinksUpToDate>
  <CharactersWithSpaces>2376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2018-11-16T01:57:00Z</dcterms:created>
  <dc:creator>user</dc:creator>
  <cp:lastModifiedBy>Administrator</cp:lastModifiedBy>
  <cp:lastPrinted>2020-07-31T08:36:00Z</cp:lastPrinted>
  <dcterms:modified xsi:type="dcterms:W3CDTF">2021-08-12T01:46:00Z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EDBA98FA817C40288D9C6A9BA3F3F2AE</vt:lpwstr>
  </property>
</Properties>
</file>